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2916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291650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29165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Финансовый результат текущего года на 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г. прибыль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6 730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Балансовая прибыль 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7 606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1 110 609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2</w:t>
            </w:r>
            <w:r w:rsidR="00291650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  <w:r w:rsidR="002916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строительства – </w:t>
            </w:r>
            <w:r w:rsidR="00424847" w:rsidRPr="00424847">
              <w:rPr>
                <w:rFonts w:ascii="Times New Roman" w:hAnsi="Times New Roman"/>
                <w:sz w:val="24"/>
                <w:szCs w:val="24"/>
              </w:rPr>
              <w:t>1  053 509 800   рублей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Вениаминова</dc:creator>
  <cp:keywords/>
  <dc:description/>
  <cp:lastModifiedBy>Наталья Вениаминова</cp:lastModifiedBy>
  <cp:revision>8</cp:revision>
  <dcterms:created xsi:type="dcterms:W3CDTF">2014-03-26T08:42:00Z</dcterms:created>
  <dcterms:modified xsi:type="dcterms:W3CDTF">2014-04-30T06:39:00Z</dcterms:modified>
</cp:coreProperties>
</file>